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0B38" w14:textId="2EC8B4D3" w:rsidR="00795145" w:rsidRPr="00795145" w:rsidRDefault="00795145" w:rsidP="00795145">
      <w:pPr>
        <w:pStyle w:val="a7"/>
        <w:shd w:val="clear" w:color="auto" w:fill="FFFFFF"/>
        <w:spacing w:before="0" w:beforeAutospacing="0" w:after="0" w:afterAutospacing="0"/>
        <w:jc w:val="both"/>
        <w:rPr>
          <w:b/>
          <w:sz w:val="36"/>
          <w:szCs w:val="36"/>
          <w:lang w:val="kk-KZ"/>
        </w:rPr>
      </w:pPr>
      <w:r>
        <w:rPr>
          <w:color w:val="FF0000"/>
          <w:sz w:val="36"/>
          <w:szCs w:val="36"/>
          <w:highlight w:val="yellow"/>
          <w:lang w:val="kk-KZ" w:eastAsia="ko-KR"/>
        </w:rPr>
        <w:t>Практикалық сабақ 5</w:t>
      </w:r>
      <w:r>
        <w:rPr>
          <w:color w:val="FF0000"/>
          <w:sz w:val="36"/>
          <w:szCs w:val="36"/>
          <w:lang w:val="kk-KZ" w:eastAsia="ko-KR"/>
        </w:rPr>
        <w:t xml:space="preserve"> </w:t>
      </w:r>
      <w:r w:rsidRPr="004E6471">
        <w:rPr>
          <w:rFonts w:eastAsiaTheme="minorEastAsia"/>
          <w:sz w:val="20"/>
          <w:szCs w:val="20"/>
          <w:lang w:val="kk-KZ"/>
        </w:rPr>
        <w:t xml:space="preserve"> </w:t>
      </w:r>
      <w:r w:rsidRPr="00795145">
        <w:rPr>
          <w:rFonts w:eastAsiaTheme="minorEastAsia"/>
          <w:sz w:val="36"/>
          <w:szCs w:val="36"/>
          <w:lang w:val="kk-KZ"/>
        </w:rPr>
        <w:t>Дағдарысқа қарсы тәуекел деңгейін талдау және бағалау</w:t>
      </w:r>
    </w:p>
    <w:p w14:paraId="78D31BA9" w14:textId="77777777" w:rsidR="00795145" w:rsidRPr="00795145" w:rsidRDefault="00795145" w:rsidP="00795145">
      <w:pPr>
        <w:spacing w:after="0" w:line="259" w:lineRule="auto"/>
        <w:rPr>
          <w:rFonts w:ascii="Times New Roman" w:hAnsi="Times New Roman" w:cs="Times New Roman"/>
          <w:b/>
          <w:bCs/>
          <w:color w:val="FF0000"/>
          <w:sz w:val="44"/>
          <w:szCs w:val="44"/>
          <w:lang w:val="kk-KZ"/>
        </w:rPr>
      </w:pPr>
    </w:p>
    <w:p w14:paraId="55D928F7" w14:textId="77777777" w:rsidR="00795145" w:rsidRPr="00795145" w:rsidRDefault="00795145" w:rsidP="00795145">
      <w:pPr>
        <w:spacing w:after="0" w:line="259" w:lineRule="auto"/>
        <w:rPr>
          <w:rFonts w:ascii="Times New Roman" w:hAnsi="Times New Roman" w:cs="Times New Roman"/>
          <w:b/>
          <w:bCs/>
          <w:color w:val="FF0000"/>
          <w:sz w:val="44"/>
          <w:szCs w:val="44"/>
          <w:lang w:val="kk-KZ"/>
        </w:rPr>
      </w:pPr>
      <w:r w:rsidRPr="00795145">
        <w:rPr>
          <w:rFonts w:ascii="Times New Roman" w:hAnsi="Times New Roman" w:cs="Times New Roman"/>
          <w:b/>
          <w:bCs/>
          <w:color w:val="FF0000"/>
          <w:sz w:val="44"/>
          <w:szCs w:val="44"/>
          <w:highlight w:val="cyan"/>
          <w:lang w:val="kk-KZ"/>
        </w:rPr>
        <w:t>Сұрақтар:</w:t>
      </w:r>
    </w:p>
    <w:p w14:paraId="4A76277E" w14:textId="75227088" w:rsidR="00795145" w:rsidRPr="00795145" w:rsidRDefault="00795145" w:rsidP="00795145">
      <w:pPr>
        <w:pStyle w:val="a7"/>
        <w:shd w:val="clear" w:color="auto" w:fill="FFFFFF"/>
        <w:spacing w:before="0" w:beforeAutospacing="0" w:after="0" w:afterAutospacing="0"/>
        <w:jc w:val="both"/>
        <w:rPr>
          <w:b/>
          <w:sz w:val="36"/>
          <w:szCs w:val="36"/>
          <w:lang w:val="kk-KZ"/>
        </w:rPr>
      </w:pPr>
      <w:r w:rsidRPr="00795145">
        <w:rPr>
          <w:color w:val="FF0000"/>
          <w:sz w:val="44"/>
          <w:szCs w:val="44"/>
          <w:lang w:val="kk-KZ"/>
        </w:rPr>
        <w:t xml:space="preserve">1.1 </w:t>
      </w:r>
      <w:r w:rsidRPr="00795145">
        <w:rPr>
          <w:rFonts w:eastAsiaTheme="minorEastAsia"/>
          <w:sz w:val="36"/>
          <w:szCs w:val="36"/>
          <w:lang w:val="kk-KZ"/>
        </w:rPr>
        <w:t xml:space="preserve">Дағдарысқа қарсы тәуекел деңгейін талдау </w:t>
      </w:r>
    </w:p>
    <w:p w14:paraId="7663D4B5" w14:textId="2B0022DB" w:rsidR="00795145" w:rsidRPr="00795145" w:rsidRDefault="00795145" w:rsidP="00795145">
      <w:pPr>
        <w:spacing w:after="0" w:line="259" w:lineRule="auto"/>
        <w:rPr>
          <w:rFonts w:ascii="Times New Roman" w:hAnsi="Times New Roman" w:cs="Times New Roman"/>
          <w:color w:val="FF0000"/>
          <w:sz w:val="44"/>
          <w:szCs w:val="44"/>
          <w:lang w:val="kk-KZ"/>
        </w:rPr>
      </w:pPr>
      <w:r w:rsidRPr="00795145">
        <w:rPr>
          <w:rFonts w:ascii="Times New Roman" w:hAnsi="Times New Roman" w:cs="Times New Roman"/>
          <w:color w:val="FF0000"/>
          <w:sz w:val="44"/>
          <w:szCs w:val="44"/>
          <w:lang w:val="kk-KZ"/>
        </w:rPr>
        <w:t xml:space="preserve">1.2 </w:t>
      </w:r>
      <w:r w:rsidRPr="00795145">
        <w:rPr>
          <w:rFonts w:eastAsiaTheme="minorEastAsia"/>
          <w:sz w:val="36"/>
          <w:szCs w:val="36"/>
          <w:lang w:val="kk-KZ" w:eastAsia="ru-RU"/>
        </w:rPr>
        <w:t>Дағдарысқа қарсы тәуекел</w:t>
      </w:r>
      <w:r>
        <w:rPr>
          <w:rFonts w:eastAsiaTheme="minorEastAsia"/>
          <w:sz w:val="36"/>
          <w:szCs w:val="36"/>
          <w:lang w:val="kk-KZ" w:eastAsia="ru-RU"/>
        </w:rPr>
        <w:t>ді бағалау</w:t>
      </w:r>
    </w:p>
    <w:p w14:paraId="754C1182" w14:textId="77777777" w:rsidR="00795145" w:rsidRDefault="00795145" w:rsidP="00641423">
      <w:pPr>
        <w:pStyle w:val="a7"/>
        <w:shd w:val="clear" w:color="auto" w:fill="FFFFFF"/>
        <w:spacing w:before="0" w:beforeAutospacing="0" w:after="0" w:afterAutospacing="0"/>
        <w:jc w:val="both"/>
        <w:rPr>
          <w:color w:val="FF0000"/>
          <w:sz w:val="36"/>
          <w:szCs w:val="36"/>
          <w:highlight w:val="yellow"/>
          <w:lang w:val="kk-KZ" w:eastAsia="ko-KR"/>
        </w:rPr>
      </w:pPr>
    </w:p>
    <w:p w14:paraId="081FD7C5" w14:textId="77777777" w:rsidR="00795145" w:rsidRDefault="00795145" w:rsidP="00641423">
      <w:pPr>
        <w:pStyle w:val="a7"/>
        <w:shd w:val="clear" w:color="auto" w:fill="FFFFFF"/>
        <w:spacing w:before="0" w:beforeAutospacing="0" w:after="0" w:afterAutospacing="0"/>
        <w:jc w:val="both"/>
        <w:rPr>
          <w:color w:val="FF0000"/>
          <w:sz w:val="36"/>
          <w:szCs w:val="36"/>
          <w:highlight w:val="yellow"/>
          <w:lang w:val="kk-KZ" w:eastAsia="ko-KR"/>
        </w:rPr>
      </w:pPr>
    </w:p>
    <w:p w14:paraId="0FEEB5E6" w14:textId="114AA0DD" w:rsidR="00641423" w:rsidRPr="00BE20FB" w:rsidRDefault="006D426F" w:rsidP="00641423">
      <w:pPr>
        <w:pStyle w:val="a7"/>
        <w:shd w:val="clear" w:color="auto" w:fill="FFFFFF"/>
        <w:spacing w:before="0" w:beforeAutospacing="0" w:after="0" w:afterAutospacing="0"/>
        <w:jc w:val="both"/>
        <w:rPr>
          <w:color w:val="333333"/>
          <w:sz w:val="36"/>
          <w:szCs w:val="36"/>
          <w:lang w:val="kk-KZ"/>
        </w:rPr>
      </w:pPr>
      <w:bookmarkStart w:id="0" w:name="_Hlk122194987"/>
      <w:bookmarkStart w:id="1" w:name="_Hlk122249840"/>
      <w:r w:rsidRPr="006D426F">
        <w:rPr>
          <w:color w:val="FF0000"/>
          <w:sz w:val="40"/>
          <w:szCs w:val="40"/>
          <w:highlight w:val="cyan"/>
          <w:lang w:val="kk-KZ"/>
        </w:rPr>
        <w:t>Дағдарысты қарсы басқару жүй</w:t>
      </w:r>
      <w:r w:rsidR="00795145">
        <w:rPr>
          <w:color w:val="FF0000"/>
          <w:sz w:val="40"/>
          <w:szCs w:val="40"/>
          <w:lang w:val="kk-KZ"/>
        </w:rPr>
        <w:t xml:space="preserve">есі </w:t>
      </w:r>
      <w:r w:rsidR="00641423" w:rsidRPr="00641423">
        <w:rPr>
          <w:color w:val="333333"/>
          <w:sz w:val="36"/>
          <w:szCs w:val="36"/>
          <w:lang w:val="kk-KZ"/>
        </w:rPr>
        <w:t xml:space="preserve"> </w:t>
      </w:r>
      <w:r w:rsidR="00795145">
        <w:rPr>
          <w:color w:val="333333"/>
          <w:sz w:val="36"/>
          <w:szCs w:val="36"/>
          <w:lang w:val="kk-KZ"/>
        </w:rPr>
        <w:t>е</w:t>
      </w:r>
      <w:r w:rsidR="00641423">
        <w:rPr>
          <w:color w:val="333333"/>
          <w:sz w:val="36"/>
          <w:szCs w:val="36"/>
          <w:lang w:val="kk-KZ"/>
        </w:rPr>
        <w:t xml:space="preserve">ліміз 2023 жылы ұлттық экономика салаларындағы дағдарысқа қарсы бағыттарды жетілдірудің көптеген әдістері  мен тәсілдерін енгізуде.  </w:t>
      </w:r>
      <w:r w:rsidR="00641423" w:rsidRPr="00BE20FB">
        <w:rPr>
          <w:color w:val="333333"/>
          <w:sz w:val="36"/>
          <w:szCs w:val="36"/>
          <w:lang w:val="kk-KZ"/>
        </w:rPr>
        <w:t>Нарықтық экономика жағдайында кәсіпорынның қызметінде дағдарыстық құбылыстардың туындау қаупі және оның банкротқа ұшырау қаупі бар және дағдарыстық жағдайлар кәсіпорынның өмірлік циклінің барлық кезеңдерінде (қалыптасу, өсу, құлдырау, жетілу) туындауы мүмкін.</w:t>
      </w:r>
      <w:r w:rsidR="00641423" w:rsidRPr="00BE20FB">
        <w:rPr>
          <w:sz w:val="36"/>
          <w:szCs w:val="36"/>
          <w:lang w:val="kk-KZ"/>
        </w:rPr>
        <w:t xml:space="preserve"> </w:t>
      </w:r>
      <w:r w:rsidR="00641423" w:rsidRPr="00BE20FB">
        <w:rPr>
          <w:color w:val="333333"/>
          <w:sz w:val="36"/>
          <w:szCs w:val="36"/>
          <w:lang w:val="kk-KZ"/>
        </w:rPr>
        <w:t>Тәуекелдерді басқару функционалдық құрамдас ретінде дағдарысқа қарсы басқарудың жалпы тұжырымдамасына органикалық түрде сәйкес келуі мүмкін. Тәуекелдің жоғарылау аймағын уақытында тану және анықтау, оның дәрежесін бағалау, залалды азайту немесе оның орнын толтыру - мұның бәрі кәсіпорынның шығыны мен банкроттығын болдырмауға көмектеседі.</w:t>
      </w:r>
    </w:p>
    <w:p w14:paraId="53C4E702"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Pr>
          <w:color w:val="333333"/>
          <w:sz w:val="36"/>
          <w:szCs w:val="36"/>
          <w:lang w:val="kk-KZ"/>
        </w:rPr>
        <w:t xml:space="preserve">         </w:t>
      </w:r>
      <w:r w:rsidRPr="00BE20FB">
        <w:rPr>
          <w:color w:val="333333"/>
          <w:sz w:val="36"/>
          <w:szCs w:val="36"/>
          <w:lang w:val="kk-KZ"/>
        </w:rPr>
        <w:t>Дағдарысты басқару басқарудың маңызды элементі болып табылады. Шешіліп жатқан мәселелердің едәуір бөлігінде дағдарысқа қарсы басқару тәуекелді болып табылады. Дағдарыс жағдайында белгілі бір бизнес үшін, кейде тұтастай алғанда экономика үшін мазмұны, көріну көздері, ықтимал шығындар мен келеңсіз салдарлардың көлемі мен көлемі бойынша өзгеретін көптеген тәуекелдер туындайды. Мұның бәрі тәуекелдерді басқару жүйесін құруды қажет етеді.</w:t>
      </w:r>
    </w:p>
    <w:p w14:paraId="43DF293E"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Pr>
          <w:color w:val="333333"/>
          <w:sz w:val="36"/>
          <w:szCs w:val="36"/>
          <w:lang w:val="kk-KZ"/>
        </w:rPr>
        <w:lastRenderedPageBreak/>
        <w:t xml:space="preserve">          </w:t>
      </w:r>
      <w:r w:rsidRPr="00BE20FB">
        <w:rPr>
          <w:color w:val="333333"/>
          <w:sz w:val="36"/>
          <w:szCs w:val="36"/>
          <w:lang w:val="kk-KZ"/>
        </w:rPr>
        <w:t>Көмекші бөлігі құқықтық, нормативтік, ұйымдастырушылық қамтамасыз етудің ішкі жүйелерімен ұсынылған. Функционалдық бөлім экономикалық және ұйымдастырушылық әдістердің жиынтығы болып табылады, олар кәсіпорынның қаржылық жағдайын диагностикалау мәселелерін шешуді, жақындап келе жатқан дағдарыстық жағдайлардың дер кезінде алдын алуды қамтамасыз етеді.</w:t>
      </w:r>
    </w:p>
    <w:p w14:paraId="633E107B"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Тәуекелдерді басқару дағдарысқа қарсы басқаруға негізделуі мүмкін, ол ұйымның нарықтағы позициясын нығайтуға, сондай-ақ тұрақтылық пен перспективаны қамтамасыз етуге бағытталған.</w:t>
      </w:r>
    </w:p>
    <w:p w14:paraId="5F0B1A2B"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w:t>
      </w:r>
      <w:r w:rsidRPr="00BE20FB">
        <w:rPr>
          <w:sz w:val="36"/>
          <w:szCs w:val="36"/>
          <w:lang w:val="kk-KZ"/>
        </w:rPr>
        <w:t xml:space="preserve"> </w:t>
      </w:r>
      <w:r>
        <w:rPr>
          <w:sz w:val="36"/>
          <w:szCs w:val="36"/>
          <w:lang w:val="kk-KZ"/>
        </w:rPr>
        <w:t xml:space="preserve">        </w:t>
      </w:r>
      <w:r w:rsidRPr="00BE20FB">
        <w:rPr>
          <w:color w:val="333333"/>
          <w:sz w:val="36"/>
          <w:szCs w:val="36"/>
          <w:lang w:val="kk-KZ"/>
        </w:rPr>
        <w:t>«Тәуекел» және «дағдарыс» ұғымдары бір-бірімен тығыз байланысты, олар қандай да бір түрде кәсіпорынның дағдарысқа қарсы басқару процесіне әсер етеді. Тәуекелдерді дер кезінде анықтау, жою, сондай-ақ дұрыс басқару кәсіпорындағы дағдарыстық жағдайдың басталуын азайтуға көмектеседі. Осылайша, тәуекелдерді басқарудың тиімді шараларын дағдарыстың пайда болуының «алдын алу» шаралары ретінде қарастыруға болады.</w:t>
      </w:r>
    </w:p>
    <w:p w14:paraId="47F7DB82"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Pr>
          <w:color w:val="333333"/>
          <w:sz w:val="36"/>
          <w:szCs w:val="36"/>
          <w:lang w:val="kk-KZ"/>
        </w:rPr>
        <w:t xml:space="preserve">       </w:t>
      </w:r>
      <w:r w:rsidRPr="00BE20FB">
        <w:rPr>
          <w:color w:val="333333"/>
          <w:sz w:val="36"/>
          <w:szCs w:val="36"/>
          <w:lang w:val="kk-KZ"/>
        </w:rPr>
        <w:t>Дағдарыс мүмкіндігі дағдарыстың ықтималдығы мен дағдарыстық жағдайлардың қауіптілігімен көрінетін тәуекелді дамумен анықталады.</w:t>
      </w:r>
    </w:p>
    <w:p w14:paraId="0AACD5AF"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Pr>
          <w:color w:val="333333"/>
          <w:sz w:val="36"/>
          <w:szCs w:val="36"/>
          <w:lang w:val="kk-KZ"/>
        </w:rPr>
        <w:t xml:space="preserve">         </w:t>
      </w:r>
      <w:r w:rsidRPr="00BE20FB">
        <w:rPr>
          <w:color w:val="333333"/>
          <w:sz w:val="36"/>
          <w:szCs w:val="36"/>
          <w:lang w:val="kk-KZ"/>
        </w:rPr>
        <w:t>Тәуекелдерді басқару – тәуекелді басқару жүйесі және осы басқару процесінде қалыптасатын қатынастар.</w:t>
      </w:r>
    </w:p>
    <w:p w14:paraId="238E4AAE"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Pr>
          <w:color w:val="333333"/>
          <w:sz w:val="36"/>
          <w:szCs w:val="36"/>
          <w:lang w:val="kk-KZ"/>
        </w:rPr>
        <w:t xml:space="preserve">         </w:t>
      </w:r>
      <w:r w:rsidRPr="00BE20FB">
        <w:rPr>
          <w:color w:val="333333"/>
          <w:sz w:val="36"/>
          <w:szCs w:val="36"/>
          <w:lang w:val="kk-KZ"/>
        </w:rPr>
        <w:t>Басқару жүйесі ретінде тәуекелдерді басқару мыналарды қамтиды:</w:t>
      </w:r>
    </w:p>
    <w:p w14:paraId="24D3C037"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1) тәуекел мақсатын әзірлеу;</w:t>
      </w:r>
    </w:p>
    <w:p w14:paraId="6A81D100"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2) оқиғаның орын алу ықтималдығын анықтау;</w:t>
      </w:r>
    </w:p>
    <w:p w14:paraId="113BD0BC"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3) тәуекел дәрежесі мен шамасын анықтау;</w:t>
      </w:r>
    </w:p>
    <w:p w14:paraId="3EC366B5"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4) тәуекелдерді басқару стратегиясы;</w:t>
      </w:r>
    </w:p>
    <w:p w14:paraId="6948003F"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5) осы стратегияға тәуекелдерді басқару әдістері мен әдістерін оны азайту үшін таңдау;</w:t>
      </w:r>
    </w:p>
    <w:p w14:paraId="0A3E7091"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6) тәуекелге мақсатты әсер етуді жүзеге асыру.</w:t>
      </w:r>
    </w:p>
    <w:p w14:paraId="187131EF"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 xml:space="preserve">Тәуекелдердің келесі </w:t>
      </w:r>
      <w:r>
        <w:rPr>
          <w:color w:val="333333"/>
          <w:sz w:val="36"/>
          <w:szCs w:val="36"/>
          <w:lang w:val="kk-KZ"/>
        </w:rPr>
        <w:t>жіктелуі</w:t>
      </w:r>
      <w:r w:rsidRPr="00BE20FB">
        <w:rPr>
          <w:color w:val="333333"/>
          <w:sz w:val="36"/>
          <w:szCs w:val="36"/>
          <w:lang w:val="kk-KZ"/>
        </w:rPr>
        <w:t xml:space="preserve"> бар:</w:t>
      </w:r>
    </w:p>
    <w:p w14:paraId="49956DB3" w14:textId="77777777" w:rsidR="00641423" w:rsidRPr="00BE20FB" w:rsidRDefault="00641423" w:rsidP="00641423">
      <w:pPr>
        <w:pStyle w:val="a7"/>
        <w:shd w:val="clear" w:color="auto" w:fill="FFFFFF"/>
        <w:spacing w:before="0" w:beforeAutospacing="0" w:after="0" w:afterAutospacing="0"/>
        <w:jc w:val="both"/>
        <w:rPr>
          <w:color w:val="333333"/>
          <w:sz w:val="36"/>
          <w:szCs w:val="36"/>
          <w:lang w:val="kk-KZ"/>
        </w:rPr>
      </w:pPr>
      <w:r w:rsidRPr="00BE20FB">
        <w:rPr>
          <w:color w:val="333333"/>
          <w:sz w:val="36"/>
          <w:szCs w:val="36"/>
          <w:lang w:val="kk-KZ"/>
        </w:rPr>
        <w:t>1) туындау уақыты бойынша тәуекелдер бөлінеді:</w:t>
      </w:r>
    </w:p>
    <w:p w14:paraId="049E37A2"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lastRenderedPageBreak/>
        <w:t>- ретроспективті;</w:t>
      </w:r>
    </w:p>
    <w:p w14:paraId="44C8FFE4"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ток;</w:t>
      </w:r>
    </w:p>
    <w:p w14:paraId="6E0DB6F3"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перспективалық тәуекелдер.</w:t>
      </w:r>
    </w:p>
    <w:p w14:paraId="1F30826A"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2) туындау факторлары бойынша тәуекелдер бөлінеді:</w:t>
      </w:r>
    </w:p>
    <w:p w14:paraId="2307D2FC"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саяси, яғни. саяси ортаның өзгеруінен туындайтын тәуекелдер;</w:t>
      </w:r>
    </w:p>
    <w:p w14:paraId="7E35C30B"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экономикалық, яғни. кәсіпорынның немесе бүкіл елдің экономикасының теріс өзгеруінен туындайтын тәуекелдер.</w:t>
      </w:r>
    </w:p>
    <w:p w14:paraId="6F88715B"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3) салдарлардың сипаты бойынша тәуекелдер:</w:t>
      </w:r>
    </w:p>
    <w:p w14:paraId="6071B3B5"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таза тәуекелдер. Мұндай тәуекелдер кәсіпкерлік қызметтегі шығындардан туындайды. Олардың себептері болуы мүмкін: соғыстар, апаттар, табиғи апаттар);</w:t>
      </w:r>
    </w:p>
    <w:p w14:paraId="05080624"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алыпсатарлық тәуекелдер кәсіпкер үшін қосымша пайданы да, шығынды да алып жүруі мүмкін;</w:t>
      </w:r>
    </w:p>
    <w:p w14:paraId="1FE04F53"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4) шығарылған жері бойынша:</w:t>
      </w:r>
    </w:p>
    <w:p w14:paraId="7B4FD820"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кәсіпорынның қаржылық міндеттемелерін орындамауынан туындайтын қаржылық тәуекел;</w:t>
      </w:r>
    </w:p>
    <w:p w14:paraId="41232D93"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өндірістік тәуекел кәсіпорын жаңа техника мен технологияларды тиімсіз пайдаланғанда, сондай-ақ тауарлар мен қызметтерді өндіру бойынша жоспарлары мен міндеттемелерін орындамағанда туындайды;</w:t>
      </w:r>
    </w:p>
    <w:p w14:paraId="7D98343E"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sidRPr="00005943">
        <w:rPr>
          <w:color w:val="333333"/>
          <w:sz w:val="36"/>
          <w:szCs w:val="36"/>
          <w:lang w:val="kk-KZ"/>
        </w:rPr>
        <w:t>- сақтандыру жағдайының туындауымен байланысты сақтандыру тәуекелі.</w:t>
      </w:r>
    </w:p>
    <w:p w14:paraId="5319388A" w14:textId="77777777" w:rsidR="00641423" w:rsidRPr="00005943" w:rsidRDefault="00641423" w:rsidP="00641423">
      <w:pPr>
        <w:pStyle w:val="a7"/>
        <w:shd w:val="clear" w:color="auto" w:fill="FFFFFF"/>
        <w:spacing w:before="0" w:beforeAutospacing="0" w:after="0" w:afterAutospacing="0"/>
        <w:jc w:val="both"/>
        <w:rPr>
          <w:color w:val="333333"/>
          <w:sz w:val="36"/>
          <w:szCs w:val="36"/>
          <w:lang w:val="kk-KZ"/>
        </w:rPr>
      </w:pPr>
      <w:r>
        <w:rPr>
          <w:color w:val="333333"/>
          <w:sz w:val="36"/>
          <w:szCs w:val="36"/>
          <w:lang w:val="kk-KZ"/>
        </w:rPr>
        <w:t xml:space="preserve">     </w:t>
      </w:r>
      <w:r w:rsidRPr="00005943">
        <w:rPr>
          <w:color w:val="333333"/>
          <w:sz w:val="36"/>
          <w:szCs w:val="36"/>
          <w:lang w:val="kk-KZ"/>
        </w:rPr>
        <w:t>Тәуекелдер де сыртқы және ішкі болып бөлінеді. Біріншісі кәсіпорынның қызметіне қатысы жоқ. Сыртқы тәуекелдерге әлеуметтік-экономикалық факторлар әсер етеді, олар: салық қызметінің тұрақсыздығы, жұмыссыздықтың өсуі, инфляцияның өсуі, саяси тұрақсыздық, табиғи апаттар және т.б.</w:t>
      </w:r>
    </w:p>
    <w:bookmarkEnd w:id="0"/>
    <w:bookmarkEnd w:id="1"/>
    <w:p w14:paraId="37F0FED0" w14:textId="77777777" w:rsidR="00A3236C" w:rsidRDefault="00A3236C" w:rsidP="00A3236C">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336C4748" w14:textId="77777777" w:rsidR="00A3236C" w:rsidRDefault="00A3236C" w:rsidP="00A3236C">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A3236C">
        <w:rPr>
          <w:rFonts w:ascii="Times New Roman" w:hAnsi="Times New Roman" w:cs="Times New Roman"/>
          <w:sz w:val="24"/>
          <w:szCs w:val="24"/>
          <w:lang w:val="kk-KZ"/>
        </w:rPr>
        <w:tab/>
      </w:r>
      <w:bookmarkStart w:id="2"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5BF76734" w14:textId="77777777" w:rsidR="00A3236C" w:rsidRDefault="00A3236C" w:rsidP="00A3236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3D3F0BC2" w14:textId="77777777" w:rsidR="00A3236C" w:rsidRDefault="00A3236C" w:rsidP="00A3236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36B2F176" w14:textId="77777777" w:rsidR="00A3236C" w:rsidRDefault="00A3236C" w:rsidP="00A3236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9E6097F" w14:textId="77777777" w:rsidR="00A3236C" w:rsidRDefault="00A3236C" w:rsidP="00A3236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5. Қазақстан Республикасы мемлекеттік қызметшілерінің әдеп кодексі// ҚР Президентінің 2015 жылғы 29 желтоқсандағы № 153 Жарлығы</w:t>
      </w:r>
    </w:p>
    <w:p w14:paraId="59070781" w14:textId="77777777" w:rsidR="00A3236C" w:rsidRDefault="00A3236C" w:rsidP="00A3236C">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7DB7CCCE" w14:textId="77777777" w:rsidR="00A3236C" w:rsidRDefault="00A3236C" w:rsidP="00A3236C">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0F38FF16" w14:textId="77777777" w:rsidR="00A3236C" w:rsidRDefault="00A3236C" w:rsidP="00A3236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189EB966" w14:textId="77777777" w:rsidR="00A3236C" w:rsidRDefault="00A3236C" w:rsidP="00A3236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1C3B3FB2" w14:textId="77777777" w:rsidR="00A3236C" w:rsidRDefault="00A3236C" w:rsidP="00A3236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280747A3" w14:textId="77777777" w:rsidR="00A3236C" w:rsidRDefault="00A3236C" w:rsidP="00A3236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3A5405FE" w14:textId="77777777" w:rsidR="00A3236C" w:rsidRDefault="00A3236C" w:rsidP="00A3236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4476A994" w14:textId="77777777" w:rsidR="00A3236C" w:rsidRDefault="00A3236C" w:rsidP="00A3236C">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17547779" w14:textId="77777777" w:rsidR="00A3236C" w:rsidRDefault="00A3236C" w:rsidP="00A3236C">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1E78153B"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7FD33BB7"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65A6E007"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4DED52D2" w14:textId="77777777" w:rsidR="00A3236C" w:rsidRDefault="00A3236C" w:rsidP="00A3236C">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248F19CF"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20DDD3AC"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790E2D2C" w14:textId="77777777" w:rsidR="00A3236C" w:rsidRDefault="00A3236C" w:rsidP="00A3236C">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2FE7D9F6"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6CA17846" w14:textId="77777777" w:rsidR="00A3236C" w:rsidRDefault="00A3236C" w:rsidP="00A3236C">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09900154"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748FBC91" w14:textId="77777777" w:rsidR="00A3236C" w:rsidRDefault="00A3236C" w:rsidP="00A3236C">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49420AB3" w14:textId="77777777" w:rsidR="00A3236C" w:rsidRDefault="00A3236C" w:rsidP="00A3236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05A150F8" w14:textId="77777777" w:rsidR="00A3236C" w:rsidRDefault="00A3236C" w:rsidP="00A3236C">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18ABE8B4" w14:textId="77777777" w:rsidR="00A3236C" w:rsidRDefault="00A3236C" w:rsidP="00A3236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160AF41F" w14:textId="77777777" w:rsidR="00A3236C" w:rsidRDefault="00A3236C" w:rsidP="00A3236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D43FB9D" w14:textId="77777777" w:rsidR="00A3236C" w:rsidRPr="00A3236C" w:rsidRDefault="00A3236C" w:rsidP="00A3236C">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74189245" w14:textId="77777777" w:rsidR="00A3236C" w:rsidRPr="00A3236C" w:rsidRDefault="00A3236C" w:rsidP="00A3236C">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6DB051E8" w14:textId="77777777" w:rsidR="00A3236C" w:rsidRDefault="00A3236C" w:rsidP="00A3236C">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20432067" w14:textId="77777777" w:rsidR="00A3236C" w:rsidRDefault="00A3236C" w:rsidP="00A3236C">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lastRenderedPageBreak/>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4A3ED148" w14:textId="77777777" w:rsidR="00A3236C" w:rsidRPr="00A3236C" w:rsidRDefault="00A3236C" w:rsidP="00A3236C">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66EF8408" w14:textId="77777777" w:rsidR="00A3236C" w:rsidRDefault="00A3236C" w:rsidP="00A3236C">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DA90EAF" w14:textId="77777777" w:rsidR="00A3236C" w:rsidRDefault="00A3236C" w:rsidP="00A3236C">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9A51901" w14:textId="77777777" w:rsidR="00A3236C" w:rsidRDefault="00A3236C" w:rsidP="00A3236C">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3DBD1581" w14:textId="77777777" w:rsidR="00A3236C" w:rsidRDefault="00A3236C" w:rsidP="00A3236C">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19EEBD0C" w14:textId="77777777" w:rsidR="00A3236C" w:rsidRPr="00A3236C" w:rsidRDefault="00A3236C" w:rsidP="00A3236C">
      <w:pPr>
        <w:spacing w:after="0" w:line="240" w:lineRule="auto"/>
        <w:rPr>
          <w:rFonts w:ascii="Times New Roman" w:eastAsia="Times New Roman" w:hAnsi="Times New Roman" w:cs="Times New Roman"/>
          <w:color w:val="000000" w:themeColor="text1"/>
          <w:kern w:val="36"/>
          <w:lang w:val="kk-KZ"/>
        </w:rPr>
      </w:pPr>
    </w:p>
    <w:p w14:paraId="76D73E43" w14:textId="77777777" w:rsidR="00A3236C" w:rsidRDefault="00A3236C" w:rsidP="00A3236C">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3A7C866D" w14:textId="77777777" w:rsidR="00A3236C" w:rsidRDefault="00A3236C" w:rsidP="00A3236C">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563DE7A0" w14:textId="77777777" w:rsidR="00A3236C" w:rsidRDefault="00A3236C" w:rsidP="00A3236C">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1FEBD1C6" w14:textId="77777777" w:rsidR="00A3236C" w:rsidRDefault="00A3236C" w:rsidP="00A3236C">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2"/>
    </w:p>
    <w:p w14:paraId="133B7850" w14:textId="6B834E15" w:rsidR="00A3236C" w:rsidRPr="00A3236C" w:rsidRDefault="00A3236C">
      <w:pPr>
        <w:rPr>
          <w:lang w:val="kk-KZ"/>
        </w:rPr>
      </w:pPr>
    </w:p>
    <w:p w14:paraId="27575E3D" w14:textId="5DC6FF22" w:rsidR="00A3236C" w:rsidRPr="00A3236C" w:rsidRDefault="00A3236C">
      <w:pPr>
        <w:rPr>
          <w:lang w:val="en-US"/>
        </w:rPr>
      </w:pPr>
    </w:p>
    <w:p w14:paraId="3636A54D" w14:textId="77777777" w:rsidR="00A3236C" w:rsidRPr="00A3236C" w:rsidRDefault="00A3236C">
      <w:pPr>
        <w:rPr>
          <w:lang w:val="en-US"/>
        </w:rPr>
      </w:pPr>
    </w:p>
    <w:sectPr w:rsidR="00A3236C" w:rsidRPr="00A3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853228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89004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05"/>
    <w:rsid w:val="00380FDB"/>
    <w:rsid w:val="00641423"/>
    <w:rsid w:val="006D426F"/>
    <w:rsid w:val="00795145"/>
    <w:rsid w:val="00A3236C"/>
    <w:rsid w:val="00AB4B3F"/>
    <w:rsid w:val="00B0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7CF"/>
  <w15:chartTrackingRefBased/>
  <w15:docId w15:val="{11A73CFC-5671-496D-898F-90631F79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36C"/>
    <w:pPr>
      <w:spacing w:line="256" w:lineRule="auto"/>
    </w:pPr>
    <w:rPr>
      <w:sz w:val="21"/>
      <w:szCs w:val="21"/>
    </w:rPr>
  </w:style>
  <w:style w:type="paragraph" w:styleId="2">
    <w:name w:val="heading 2"/>
    <w:basedOn w:val="a"/>
    <w:next w:val="a"/>
    <w:link w:val="20"/>
    <w:uiPriority w:val="9"/>
    <w:semiHidden/>
    <w:unhideWhenUsed/>
    <w:qFormat/>
    <w:rsid w:val="00A32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236C"/>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A3236C"/>
  </w:style>
  <w:style w:type="paragraph" w:styleId="a4">
    <w:name w:val="List Paragraph"/>
    <w:aliases w:val="без абзаца,маркированный,ПАРАГРАФ,List Paragraph"/>
    <w:basedOn w:val="a"/>
    <w:link w:val="a3"/>
    <w:uiPriority w:val="34"/>
    <w:qFormat/>
    <w:rsid w:val="00A3236C"/>
    <w:pPr>
      <w:spacing w:line="254" w:lineRule="auto"/>
      <w:ind w:left="720"/>
      <w:contextualSpacing/>
    </w:pPr>
    <w:rPr>
      <w:sz w:val="22"/>
      <w:szCs w:val="22"/>
    </w:rPr>
  </w:style>
  <w:style w:type="character" w:customStyle="1" w:styleId="s1">
    <w:name w:val="s1"/>
    <w:basedOn w:val="a0"/>
    <w:rsid w:val="00A3236C"/>
  </w:style>
  <w:style w:type="character" w:styleId="a5">
    <w:name w:val="Strong"/>
    <w:basedOn w:val="a0"/>
    <w:uiPriority w:val="22"/>
    <w:qFormat/>
    <w:rsid w:val="00A3236C"/>
    <w:rPr>
      <w:b/>
      <w:bCs/>
    </w:rPr>
  </w:style>
  <w:style w:type="table" w:styleId="a6">
    <w:name w:val="Table Grid"/>
    <w:basedOn w:val="a1"/>
    <w:uiPriority w:val="39"/>
    <w:rsid w:val="006D426F"/>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641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23162">
      <w:bodyDiv w:val="1"/>
      <w:marLeft w:val="0"/>
      <w:marRight w:val="0"/>
      <w:marTop w:val="0"/>
      <w:marBottom w:val="0"/>
      <w:divBdr>
        <w:top w:val="none" w:sz="0" w:space="0" w:color="auto"/>
        <w:left w:val="none" w:sz="0" w:space="0" w:color="auto"/>
        <w:bottom w:val="none" w:sz="0" w:space="0" w:color="auto"/>
        <w:right w:val="none" w:sz="0" w:space="0" w:color="auto"/>
      </w:divBdr>
    </w:div>
    <w:div w:id="19730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6</cp:revision>
  <dcterms:created xsi:type="dcterms:W3CDTF">2022-12-17T02:45:00Z</dcterms:created>
  <dcterms:modified xsi:type="dcterms:W3CDTF">2023-01-13T08:55:00Z</dcterms:modified>
</cp:coreProperties>
</file>